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D4E56">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4003782">
      <w:pPr>
        <w:spacing w:line="540" w:lineRule="exact"/>
        <w:jc w:val="center"/>
        <w:rPr>
          <w:rFonts w:ascii="方正小标宋_GBK" w:hAnsi="华文中宋" w:eastAsia="方正小标宋_GBK" w:cs="宋体"/>
          <w:b/>
          <w:kern w:val="0"/>
          <w:sz w:val="48"/>
          <w:szCs w:val="48"/>
        </w:rPr>
      </w:pPr>
    </w:p>
    <w:p w14:paraId="0C24E174">
      <w:pPr>
        <w:spacing w:line="540" w:lineRule="exact"/>
        <w:jc w:val="center"/>
        <w:rPr>
          <w:rFonts w:ascii="方正小标宋_GBK" w:hAnsi="华文中宋" w:eastAsia="方正小标宋_GBK" w:cs="宋体"/>
          <w:b/>
          <w:kern w:val="0"/>
          <w:sz w:val="48"/>
          <w:szCs w:val="48"/>
        </w:rPr>
      </w:pPr>
    </w:p>
    <w:p w14:paraId="04468D4A">
      <w:pPr>
        <w:spacing w:line="540" w:lineRule="exact"/>
        <w:jc w:val="center"/>
        <w:rPr>
          <w:rFonts w:ascii="方正小标宋_GBK" w:hAnsi="华文中宋" w:eastAsia="方正小标宋_GBK" w:cs="宋体"/>
          <w:b/>
          <w:kern w:val="0"/>
          <w:sz w:val="48"/>
          <w:szCs w:val="48"/>
        </w:rPr>
      </w:pPr>
    </w:p>
    <w:p w14:paraId="4ED2235E">
      <w:pPr>
        <w:spacing w:line="540" w:lineRule="exact"/>
        <w:jc w:val="center"/>
        <w:rPr>
          <w:rFonts w:ascii="方正小标宋_GBK" w:hAnsi="华文中宋" w:eastAsia="方正小标宋_GBK" w:cs="宋体"/>
          <w:b/>
          <w:kern w:val="0"/>
          <w:sz w:val="48"/>
          <w:szCs w:val="48"/>
        </w:rPr>
      </w:pPr>
    </w:p>
    <w:p w14:paraId="62A894A1">
      <w:pPr>
        <w:spacing w:line="540" w:lineRule="exact"/>
        <w:jc w:val="center"/>
        <w:rPr>
          <w:rFonts w:ascii="方正小标宋_GBK" w:hAnsi="华文中宋" w:eastAsia="方正小标宋_GBK" w:cs="宋体"/>
          <w:b/>
          <w:kern w:val="0"/>
          <w:sz w:val="48"/>
          <w:szCs w:val="48"/>
        </w:rPr>
      </w:pPr>
    </w:p>
    <w:p w14:paraId="540BFB8D">
      <w:pPr>
        <w:spacing w:line="540" w:lineRule="exact"/>
        <w:jc w:val="center"/>
        <w:rPr>
          <w:rFonts w:ascii="方正小标宋_GBK" w:hAnsi="华文中宋" w:eastAsia="方正小标宋_GBK" w:cs="宋体"/>
          <w:b/>
          <w:kern w:val="0"/>
          <w:sz w:val="48"/>
          <w:szCs w:val="48"/>
        </w:rPr>
      </w:pPr>
    </w:p>
    <w:p w14:paraId="2B8573D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94D9C3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1501AD3">
      <w:pPr>
        <w:spacing w:line="540" w:lineRule="exact"/>
        <w:jc w:val="center"/>
        <w:rPr>
          <w:rFonts w:ascii="华文中宋" w:hAnsi="华文中宋" w:eastAsia="华文中宋" w:cs="宋体"/>
          <w:b/>
          <w:kern w:val="0"/>
          <w:sz w:val="52"/>
          <w:szCs w:val="52"/>
        </w:rPr>
      </w:pPr>
    </w:p>
    <w:p w14:paraId="64F0D500">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E10B4E4">
      <w:pPr>
        <w:spacing w:line="700" w:lineRule="exact"/>
        <w:jc w:val="left"/>
        <w:rPr>
          <w:rFonts w:hint="eastAsia" w:hAnsi="宋体" w:eastAsia="仿宋_GB2312" w:cs="宋体"/>
          <w:kern w:val="0"/>
          <w:sz w:val="36"/>
          <w:szCs w:val="36"/>
        </w:rPr>
      </w:pPr>
    </w:p>
    <w:p w14:paraId="599C0300">
      <w:pPr>
        <w:spacing w:line="700" w:lineRule="exact"/>
        <w:jc w:val="left"/>
        <w:rPr>
          <w:rFonts w:hint="eastAsia" w:hAnsi="宋体" w:eastAsia="仿宋_GB2312" w:cs="宋体"/>
          <w:kern w:val="0"/>
          <w:sz w:val="36"/>
          <w:szCs w:val="36"/>
        </w:rPr>
      </w:pPr>
    </w:p>
    <w:p w14:paraId="7D9F1BCE">
      <w:pPr>
        <w:spacing w:line="700" w:lineRule="exact"/>
        <w:jc w:val="left"/>
        <w:rPr>
          <w:rFonts w:hint="eastAsia" w:hAnsi="宋体" w:eastAsia="仿宋_GB2312" w:cs="宋体"/>
          <w:kern w:val="0"/>
          <w:sz w:val="36"/>
          <w:szCs w:val="36"/>
          <w:lang w:eastAsia="zh-CN"/>
        </w:rPr>
      </w:pPr>
    </w:p>
    <w:p w14:paraId="6FA88A8D">
      <w:pPr>
        <w:spacing w:line="700" w:lineRule="exact"/>
        <w:jc w:val="left"/>
        <w:rPr>
          <w:rFonts w:hint="eastAsia" w:hAnsi="宋体" w:eastAsia="仿宋_GB2312" w:cs="宋体"/>
          <w:kern w:val="0"/>
          <w:sz w:val="36"/>
          <w:szCs w:val="36"/>
          <w:lang w:eastAsia="zh-CN"/>
        </w:rPr>
      </w:pPr>
    </w:p>
    <w:p w14:paraId="5A839525">
      <w:pPr>
        <w:spacing w:line="700" w:lineRule="exact"/>
        <w:jc w:val="left"/>
        <w:rPr>
          <w:rFonts w:hint="eastAsia" w:hAnsi="宋体" w:eastAsia="仿宋_GB2312" w:cs="宋体"/>
          <w:kern w:val="0"/>
          <w:sz w:val="36"/>
          <w:szCs w:val="36"/>
          <w:lang w:eastAsia="zh-CN"/>
        </w:rPr>
      </w:pPr>
    </w:p>
    <w:p w14:paraId="028DC945">
      <w:pPr>
        <w:spacing w:line="700" w:lineRule="exact"/>
        <w:jc w:val="left"/>
        <w:rPr>
          <w:rFonts w:hint="eastAsia" w:hAnsi="宋体" w:eastAsia="仿宋_GB2312" w:cs="宋体"/>
          <w:kern w:val="0"/>
          <w:sz w:val="36"/>
          <w:szCs w:val="36"/>
          <w:lang w:eastAsia="zh-CN"/>
        </w:rPr>
      </w:pPr>
    </w:p>
    <w:p w14:paraId="08BE8DAC">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克州伊尔克什坦口岸管理办公室</w:t>
      </w:r>
    </w:p>
    <w:p w14:paraId="433DFC13">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4BE141BC">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F2F02E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025DD50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贯彻落实党和国家的路线、方针、政策及自治区重大部署。行使国家、自治区赋予开发区的经济管理和审批权限，突出先行先试，实行制度创新、政策创新和管理体制创新。负责编制园区总体发展规划和各专项发展规划，并组织实施。负责招商引资工作，按规定权限审批、审定、申报各类投资项目。负责园区规划建设，基础设施和公共设施建设管理工作。负责园区财政预决算、国有资产管理、投资、融资工作。根据规定权限负责园区各类进出口行政事务。负责园区干部管理、机构编制、人力资源和社会保障工作。承担与上级相关部门、派驻地政府、部门及相关单位的沟通联系和协调职责。履行园区相应的社会管理和社会服务职能。承办自治区和自治州党委、人民政府、喀什经济开发区交办的其他事项。承担原伊尔克什坦口岸管理委员会履行的各项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喀什经济开发区伊尔克什坦口岸园区管理委员会单位无下属预算单位，下设3个处室，分别是：党政办公室、发展改革和经济促进局(财政局金融服务办公室）、规划土地建设环保局。</w:t>
      </w:r>
      <w:r>
        <w:rPr>
          <w:rFonts w:hint="eastAsia" w:ascii="仿宋_GB2312" w:hAnsi="宋体" w:eastAsia="仿宋_GB2312"/>
          <w:b w:val="0"/>
          <w:bCs/>
          <w:sz w:val="32"/>
          <w:szCs w:val="32"/>
        </w:rPr>
        <w:cr/>
      </w:r>
      <w:r>
        <w:rPr>
          <w:rFonts w:hint="eastAsia" w:ascii="仿宋_GB2312" w:hAnsi="宋体" w:eastAsia="仿宋_GB2312"/>
          <w:b w:val="0"/>
          <w:bCs/>
          <w:sz w:val="32"/>
          <w:szCs w:val="32"/>
        </w:rPr>
        <w:t>　　喀什经济开发区伊尔克什坦口岸园区管理委员会单位编制数31人，实有人数36人，其中：在职36人，增加0人。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坚定坚决落实好自治区党委“3+1”工作部署要求。持续抓好口岸货物通关、维护稳定、安全生产和经济高质量发展，确保国门安全。</w:t>
      </w:r>
      <w:r>
        <w:rPr>
          <w:rFonts w:hint="eastAsia" w:ascii="仿宋_GB2312" w:hAnsi="宋体" w:eastAsia="仿宋_GB2312"/>
          <w:b w:val="0"/>
          <w:bCs/>
          <w:sz w:val="32"/>
          <w:szCs w:val="32"/>
        </w:rPr>
        <w:cr/>
      </w:r>
      <w:r>
        <w:rPr>
          <w:rFonts w:hint="eastAsia" w:ascii="仿宋_GB2312" w:hAnsi="宋体" w:eastAsia="仿宋_GB2312"/>
          <w:b w:val="0"/>
          <w:bCs/>
          <w:sz w:val="32"/>
          <w:szCs w:val="32"/>
        </w:rPr>
        <w:t>　　积极融入</w:t>
      </w:r>
      <w:r>
        <w:rPr>
          <w:rFonts w:hint="eastAsia" w:ascii="仿宋_GB2312" w:hAnsi="宋体" w:eastAsia="仿宋_GB2312"/>
          <w:b w:val="0"/>
          <w:bCs/>
          <w:sz w:val="32"/>
          <w:szCs w:val="32"/>
          <w:lang w:eastAsia="zh-CN"/>
        </w:rPr>
        <w:t>“一带一路”倡议</w:t>
      </w:r>
      <w:r>
        <w:rPr>
          <w:rFonts w:hint="eastAsia" w:ascii="仿宋_GB2312" w:hAnsi="宋体" w:eastAsia="仿宋_GB2312"/>
          <w:b w:val="0"/>
          <w:bCs/>
          <w:sz w:val="32"/>
          <w:szCs w:val="32"/>
        </w:rPr>
        <w:t>。把握</w:t>
      </w:r>
      <w:r>
        <w:rPr>
          <w:rFonts w:hint="eastAsia" w:ascii="仿宋_GB2312" w:hAnsi="宋体" w:eastAsia="仿宋_GB2312"/>
          <w:b w:val="0"/>
          <w:bCs/>
          <w:sz w:val="32"/>
          <w:szCs w:val="32"/>
          <w:lang w:eastAsia="zh-CN"/>
        </w:rPr>
        <w:t>“一带一路”倡议</w:t>
      </w:r>
      <w:r>
        <w:rPr>
          <w:rFonts w:hint="eastAsia" w:ascii="仿宋_GB2312" w:hAnsi="宋体" w:eastAsia="仿宋_GB2312"/>
          <w:b w:val="0"/>
          <w:bCs/>
          <w:sz w:val="32"/>
          <w:szCs w:val="32"/>
        </w:rPr>
        <w:t>机遇，按照自治区丝绸之路经济带核心区建设总要求，将口岸向西开放重要门户建设充分融入到核心区建设布局当中，进一步强化贸易通道优化服务、提升效率建设，加强体制机制创新，优化贸易往来监管机构的协调服务，形成最大合力，促进口岸园区对外开放水平的不断提升。</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新发展理念，打好园区高质量发展基础。牢固树立创新、绿色、协调、开放、共享的发展理念，以即将编制完成的产业发展规划为基础，进一步明确园区产业发展布局和发展重点，牢固树立保护生态环境就是保护生产力、绿水青山就是金山银山的理念，坚决按照园区轻工、仓储物流、服务业并举的产业定位，切实把好项目准入关，严禁污染项目进入。</w:t>
      </w:r>
      <w:r>
        <w:rPr>
          <w:rFonts w:hint="eastAsia" w:ascii="仿宋_GB2312" w:hAnsi="宋体" w:eastAsia="仿宋_GB2312"/>
          <w:b w:val="0"/>
          <w:bCs/>
          <w:sz w:val="32"/>
          <w:szCs w:val="32"/>
        </w:rPr>
        <w:cr/>
      </w:r>
      <w:r>
        <w:rPr>
          <w:rFonts w:hint="eastAsia" w:ascii="仿宋_GB2312" w:hAnsi="宋体" w:eastAsia="仿宋_GB2312"/>
          <w:b w:val="0"/>
          <w:bCs/>
          <w:sz w:val="32"/>
          <w:szCs w:val="32"/>
        </w:rPr>
        <w:t>　　努力发展实体产业。依据《伊尔克什坦口岸园区产业规划》，完善和细化进出口加工区产业布局，持续以口岸贸易产品为主导，下大力气引进与贸易产品相关联的实体产业入驻园区，逐步促进贸易为主体的发展模式向进出口贸易与实体加工组装同步推进发展的模式转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探索综合保税区的申报设立。深入研究综合保税区申报设立相关流程和对应政策，充分比对疆内已设立保税区运行及管理模式，主动对接自治区对于保税区的设立安排及政策要求，加快推进伊尔克什坦口岸综合保税区建立，完善仓储、运输、配送以及保税物流等功能，打响口岸优势品牌，推进口岸经济发展，争取及早启动综合保税区设立相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进一步加强口岸园区环境提升。重点是通过绿化、配套设施完善、标准厂房等发展基本要素支撑项目的实施以及服务效能建设，将口岸园区逐步打造成为环境优美、设施完善、服务到位的新疆一流口岸和符合国家级开发区定位的高效园区。进一步强化干部职工的作风建设、强化口岸园区及驻口岸各单位的服务意识，切实打造服务一流的口岸园区发展软环境。</w:t>
      </w:r>
      <w:r>
        <w:rPr>
          <w:rFonts w:hint="eastAsia" w:ascii="仿宋_GB2312" w:hAnsi="宋体" w:eastAsia="仿宋_GB2312"/>
          <w:b w:val="0"/>
          <w:bCs/>
          <w:sz w:val="32"/>
          <w:szCs w:val="32"/>
        </w:rPr>
        <w:cr/>
      </w:r>
      <w:r>
        <w:rPr>
          <w:rFonts w:hint="eastAsia" w:ascii="仿宋_GB2312" w:hAnsi="宋体" w:eastAsia="仿宋_GB2312"/>
          <w:b w:val="0"/>
          <w:bCs/>
          <w:sz w:val="32"/>
          <w:szCs w:val="32"/>
        </w:rPr>
        <w:t>　　充分发挥口岸向第三国开放的功能优势。逐步加大对中亚国家煤炭、矿产等资源性产品以及东欧科技型产品的进口，加大对进口资源的利用，推动当前单边贸易为主向多边全面经贸合作发展，努力将口岸园区逐步打造成辐射中亚乃至欧洲的经济贸易合作区。</w:t>
      </w:r>
      <w:r>
        <w:rPr>
          <w:rFonts w:hint="eastAsia" w:ascii="仿宋_GB2312" w:hAnsi="宋体" w:eastAsia="仿宋_GB2312"/>
          <w:b w:val="0"/>
          <w:bCs/>
          <w:sz w:val="32"/>
          <w:szCs w:val="32"/>
        </w:rPr>
        <w:cr/>
      </w:r>
      <w:r>
        <w:rPr>
          <w:rFonts w:hint="eastAsia" w:ascii="仿宋_GB2312" w:hAnsi="宋体" w:eastAsia="仿宋_GB2312"/>
          <w:b w:val="0"/>
          <w:bCs/>
          <w:sz w:val="32"/>
          <w:szCs w:val="32"/>
        </w:rPr>
        <w:t>　　积极推动口岸海关特殊监管场所建设。继续申报粮食、肉类进境口岸，力争获批。不断提高口岸承载能力，丰富进出口商品种类，提升口岸贸易不断焕发新的动力，不断完善国家一类口岸的各项功能。</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喀什经济开发区伊尔克什坦口岸园区管理委员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喀什经济开发区伊尔克什坦口岸园区管理委员会集体决策制度》和《喀什经济开发区伊尔克什坦口岸园区管理委员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喀什经济开发区伊尔克什坦口岸园区管理委员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喀什经济开发区伊尔克什坦口岸园区管理委员会合同管理办法》相关规定，州喀什经济开发区伊尔克什坦口岸园区管理委员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1,721.59万元，项目支出安排资金3,262.00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本单位2021年度项目支出12万元，涉及项目数量4个，其中：重点项目支出7万元，涉及重点项目数量3个，重点项目支出与部门项目总支出的比率为58.33%。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2021年度本单位年初批复部门预算资金总额为857.50万元，年中调增预算总额为4,126.09万元，调整后全年预算资金总额为4,983.59万元。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2021年度本单位部门整体支出资金总额为1,725.07万元，预算执行率为34.62%，预算调整率为481.17%。</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年初政府采购预算数为182.68万元，实际政府采购数为160.12万元，政府采购执行率为87.65%。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04FB0F1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8A8056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喀什经济开发区伊尔克什坦口岸园区管理委员会内部控制规范》《喀什经济开发区伊尔克什坦口岸园区管理委员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2021年度我单位基本支出预算总额为1,721.59万元，其中人员经费761.44万元，公用经费960.15万元。实际执行总额为1,713.07万元，预算执行率99.51%。</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2021年度一般公共预算“三公”经费年初预算数为0万元，支出决算0万元，主要原因是：我单位年初未安排三公经费。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2021年度本单位项目支出预算总额为3,262.00万元，实际执行资金总额为12万元，预算执行率为0.37%。</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3257.00万元，实际支出资金7.00万元，预算执行率为0.21%，涉及项目个数3个，专项资金结转3250.00万元，结转的主要原因为：中央预算内专项资金：2021年伊口岸园区供暖设施建设项目，金额为2400万元；伊口岸园区道路附属建设项目，金额为850万元，合计3250万元，由于2021年以上两个项目未开工，导致资金未能形成支出。我单位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2021年伊口岸园区供暖设施建设项目:全年预算数为2400万元，预算执行数为0万元，预算执行率为0%。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伊口岸园区道路附属建设项目:全年预算数为850万元，预算执行数为0万元，预算执行率为0%。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2021年度预算安排本级财力资金5万元，实际支出资金5万元，预算执行率为100%，涉及项目个数1个，各项目详细执行情况如下：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联建工作经费项目:全年预算数为5万元，预算执行数为5万元，预算执行率为100%。</w:t>
      </w:r>
    </w:p>
    <w:p w14:paraId="574EBBD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2F5E3C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0.21%。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下达2021年第二批新疆西藏四川省涉藏州县建设专项中央基建投资预算（拨款）的投资》新财建（2021）160号、《关于下达2021年第二批新疆西藏四川省涉藏州县建设专项中央基建投资预算（拨款）的投资》克财建（2021）63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3257万元，资金全部到位，实际使用资金7万元，专项资金执行率为0.21%。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①制订《喀什经济开发区伊尔克什坦口岸园区管理委员会经费使用规范》,为合理合规使用经费提供了有力的制度保障。同时,建立区委组织部项目经费内部管控制度，并严格按要求落实。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成本节约：我单位3个项目成本均未超预算，预算执行率达0.21%。</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我单位项目达到绩效目标所要求质量条件。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2021年伊口岸园区供暖设施建设项目，该项目未实施，故未能产生效益。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伊口岸园区道路附属建设项目，该项目未实施，故未能产生效益。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项目：主要用于驻村工作队开展驻村工作任务。通过该项目的实施，解决群众生产生活中的实际困难，加强民族团结，增进民族互信，突出现代文化引领，关心关爱困难群众，实现维护社会稳定和长治久安总目标。</w:t>
      </w:r>
    </w:p>
    <w:p w14:paraId="767BF0D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AAE0CE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本单位2021年初资产合计数为2,948.09万元，年末资产合计数为5,505.56万元。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截止本年度固定资产账面净值2,244.43万元，年末实际在用固定资产2,244.43万元，固定资产利用率为100%。</w:t>
      </w:r>
    </w:p>
    <w:p w14:paraId="2920F45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AF4C16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“保障工作人员人数”指标：预期指标值为大于等于36人，实际完成指标值为36人，指标完成率为100%。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“保障车辆数量”指标：预期指标值为大于等于2辆，实际完成指标值为2辆，指标完成率为100%。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“招商引进企业”指标：预期指标值为大于等于2个，实际完成指标值为2个，指标完成率为100%。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“进出口行政事务完成率”指标：预期指标值为等于100%，实际完成指标值为100%，指标完成率为100%。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“绩效考核合格率”指标：预期指标值为大于等于95%，实际完成指标值为95%，指标完成率为100%。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“资金使用合规率”指标：预期指标值为大于等于95%，实际完成指标值为95%，指标完成率为100%。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“人员经费”指标：预期指标值为小于等于634.98万元，实际完成指标值为634.98万元，指标完成率为100%。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“公用经费”指标：预期指标值为小于等于210.52万元，实际完成指标值为210.52万元，指标完成率为100%。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“项目支出”指标：预期指标值为小于等于12万元，实际完成指标值为12万元，指标完成率为100%。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p>
    <w:p w14:paraId="3BDCE34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14AA2C2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7110DE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2F1A0CA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74358865">
      <w:pPr>
        <w:numPr>
          <w:ilvl w:val="0"/>
          <w:numId w:val="0"/>
        </w:numPr>
        <w:snapToGrid w:val="0"/>
        <w:spacing w:line="540" w:lineRule="exact"/>
        <w:ind w:left="648" w:leftChars="0"/>
        <w:rPr>
          <w:rFonts w:ascii="黑体" w:hAnsi="黑体" w:eastAsia="黑体" w:cs="宋体"/>
          <w:b/>
          <w:bCs w:val="0"/>
          <w:color w:val="000000" w:themeColor="text1"/>
          <w:sz w:val="32"/>
          <w:szCs w:val="32"/>
          <w:lang w:bidi="ar"/>
          <w14:textFill>
            <w14:solidFill>
              <w14:schemeClr w14:val="tx1"/>
            </w14:solidFill>
          </w14:textFill>
        </w:rPr>
      </w:pPr>
    </w:p>
    <w:p w14:paraId="7E697D76"/>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B4C55CC"/>
    <w:rsid w:val="0D1922F1"/>
    <w:rsid w:val="108622B3"/>
    <w:rsid w:val="1438599A"/>
    <w:rsid w:val="200F4073"/>
    <w:rsid w:val="24B86128"/>
    <w:rsid w:val="2B075226"/>
    <w:rsid w:val="2B184C26"/>
    <w:rsid w:val="4D185DF9"/>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9904</Words>
  <Characters>10320</Characters>
  <Lines>2</Lines>
  <Paragraphs>1</Paragraphs>
  <TotalTime>31</TotalTime>
  <ScaleCrop>false</ScaleCrop>
  <LinksUpToDate>false</LinksUpToDate>
  <CharactersWithSpaces>10594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2025-07-31T03:21:47Z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